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979"/>
        <w:jc w:val="center"/>
        <w:tblLayout w:type="fixed"/>
        <w:tblLook w:firstColumn="1" w:firstRow="1" w:lastColumn="0" w:lastRow="0" w:noHBand="0" w:noVBand="1" w:val="04A0"/>
        <w:bidiVisual w:val="1"/>
        <w:tblInd w:w="180" w:type="dxa"/>
      </w:tblPr>
      <w:tblGrid>
        <w:gridCol w:w="9979"/>
      </w:tblGrid>
      <w:tr>
        <w:tc>
          <w:tcPr>
            <w:tcW w:type="dxa" w:w="9979"/>
            <w:shd w:fill="EDF5F4"/>
            <w:tcMar>
              <w:top w:w="90" w:type="dxa"/>
              <w:start w:w="180" w:type="dxa"/>
              <w:bottom w:w="90" w:type="dxa"/>
              <w:end w:w="18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123F44"/>
                <w:sz w:val="19"/>
                <w:rtl w:val="1"/>
              </w:rPr>
              <w:t>نسخه حرفه‌ای Word | فارسی، راست‌چین و قابل‌ویرایش</w:t>
            </w:r>
          </w:p>
        </w:tc>
      </w:tr>
    </w:tbl>
    <w:p>
      <w:pPr>
        <w:pStyle w:val="Title"/>
        <w:jc w:val="right"/>
        <w:bidi w:val="1"/>
      </w:pPr>
      <w:r>
        <w:rPr>
          <w:rFonts w:ascii="Vazirmatn" w:hAnsi="Vazirmatn" w:cs="Vazirmatn" w:eastAsia="Vazirmatn"/>
          <w:rtl w:val="1"/>
        </w:rPr>
        <w:t>قرارداد محرمانگی کارمند (NDA)</w:t>
      </w:r>
    </w:p>
    <w:p>
      <w:pPr>
        <w:pStyle w:val="Subtitle"/>
        <w:jc w:val="right"/>
        <w:bidi w:val="1"/>
      </w:pPr>
      <w:r>
        <w:rPr>
          <w:rFonts w:ascii="Vazirmatn" w:hAnsi="Vazirmatn" w:cs="Vazirmatn" w:eastAsia="Vazirmatn"/>
          <w:rtl w:val="1"/>
        </w:rPr>
        <w:t>الگوی قابل‌ویرایش متصل به قرارداد کار</w:t>
      </w:r>
    </w:p>
    <w:tbl>
      <w:tblPr>
        <w:tblW w:type="dxa" w:w="9978"/>
        <w:jc w:val="center"/>
        <w:tblLayout w:type="fixed"/>
        <w:tblLook w:firstColumn="1" w:firstRow="1" w:lastColumn="0" w:lastRow="0" w:noHBand="0" w:noVBand="1" w:val="04A0"/>
        <w:bidiVisual w:val="1"/>
        <w:tblInd w:w="120" w:type="dxa"/>
      </w:tblPr>
      <w:tblGrid>
        <w:gridCol w:w="7484"/>
        <w:gridCol w:w="2494"/>
      </w:tblGrid>
      <w:tr>
        <w:tc>
          <w:tcPr>
            <w:tcW w:type="dxa" w:w="7484"/>
            <w:tcMar>
              <w:top w:w="100" w:type="dxa"/>
              <w:start w:w="120" w:type="dxa"/>
              <w:bottom w:w="100" w:type="dxa"/>
              <w:end w:w="120" w:type="dxa"/>
            </w:tcMar>
            <w:shd w:fill="F7F9F8"/>
            <w:vAlign w:val="center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18"/>
                <w:rtl w:val="1"/>
              </w:rPr>
              <w:t>آماده تکمیل؛ نسخه نهایی پیش از امضا بازبینی شود</w:t>
            </w:r>
          </w:p>
        </w:tc>
        <w:tc>
          <w:tcPr>
            <w:tcW w:type="dxa" w:w="2494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  <w:vAlign w:val="center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123F44"/>
                <w:sz w:val="18"/>
                <w:rtl w:val="1"/>
              </w:rPr>
              <w:t>وضعیت</w:t>
            </w:r>
          </w:p>
        </w:tc>
      </w:tr>
      <w:tr>
        <w:tc>
          <w:tcPr>
            <w:tcW w:type="dxa" w:w="7484"/>
            <w:tcMar>
              <w:top w:w="100" w:type="dxa"/>
              <w:start w:w="120" w:type="dxa"/>
              <w:bottom w:w="100" w:type="dxa"/>
              <w:end w:w="120" w:type="dxa"/>
            </w:tcMar>
            <w:shd w:fill="F7F9F8"/>
            <w:vAlign w:val="center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18"/>
                <w:rtl w:val="1"/>
              </w:rPr>
              <w:t>۲.۰ | تاریخ بازبینی محتوایی: ۱۴۰۵/۰۵/۲۲</w:t>
            </w:r>
          </w:p>
        </w:tc>
        <w:tc>
          <w:tcPr>
            <w:tcW w:type="dxa" w:w="2494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  <w:vAlign w:val="center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123F44"/>
                <w:sz w:val="18"/>
                <w:rtl w:val="1"/>
              </w:rPr>
              <w:t>نسخه</w:t>
            </w:r>
          </w:p>
        </w:tc>
      </w:tr>
    </w:tbl>
    <w:tbl>
      <w:tblPr>
        <w:tblW w:type="dxa" w:w="9979"/>
        <w:jc w:val="center"/>
        <w:tblLayout w:type="fixed"/>
        <w:tblLook w:firstColumn="1" w:firstRow="1" w:lastColumn="0" w:lastRow="0" w:noHBand="0" w:noVBand="1" w:val="04A0"/>
        <w:bidiVisual w:val="1"/>
        <w:tblInd w:w="180" w:type="dxa"/>
      </w:tblPr>
      <w:tblGrid>
        <w:gridCol w:w="9979"/>
      </w:tblGrid>
      <w:tr>
        <w:tc>
          <w:tcPr>
            <w:tcW w:type="dxa" w:w="9979"/>
            <w:shd w:fill="FBF4E6"/>
            <w:tcMar>
              <w:top w:w="120" w:type="dxa"/>
              <w:start w:w="180" w:type="dxa"/>
              <w:bottom w:w="120" w:type="dxa"/>
              <w:end w:w="18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123F44"/>
                <w:sz w:val="19"/>
                <w:rtl w:val="1"/>
              </w:rPr>
              <w:t xml:space="preserve">قبل از استفاده: </w:t>
            </w:r>
            <w:r>
              <w:rPr>
                <w:rFonts w:ascii="Vazirmatn" w:hAnsi="Vazirmatn" w:cs="Vazirmatn" w:eastAsia="Vazirmatn"/>
                <w:b w:val="0"/>
                <w:color w:val="202B33"/>
                <w:sz w:val="19"/>
                <w:rtl w:val="1"/>
              </w:rPr>
              <w:t>هر عبارتی که داخل کروشه است باید با اطلاعات واقعی شرکت و شغل جایگزین شود. مبلغ سفته، خسارت قراردادی، مدت تعهد و هر محدودیت بعد از همکاری را بدون بررسی وکیل نهایی نکنید.</w:t>
            </w:r>
          </w:p>
        </w:tc>
      </w:tr>
    </w:tbl>
    <w:p>
      <w:pPr>
        <w:spacing w:after="0"/>
        <w:jc w:val="right"/>
        <w:bidi w:val="1"/>
      </w:pPr>
    </w:p>
    <w:tbl>
      <w:tblPr>
        <w:tblW w:type="dxa" w:w="9978"/>
        <w:jc w:val="center"/>
        <w:tblLayout w:type="fixed"/>
        <w:tblLook w:firstColumn="1" w:firstRow="1" w:lastColumn="0" w:lastRow="0" w:noHBand="0" w:noVBand="1" w:val="04A0"/>
        <w:bidiVisual w:val="1"/>
        <w:tblInd w:w="120" w:type="dxa"/>
      </w:tblPr>
      <w:tblGrid>
        <w:gridCol w:w="2948"/>
        <w:gridCol w:w="7030"/>
      </w:tblGrid>
      <w:tr>
        <w:tc>
          <w:tcPr>
            <w:tcW w:type="dxa" w:w="294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قرارداد کار مرتبط</w:t>
            </w:r>
          </w:p>
        </w:tc>
        <w:tc>
          <w:tcPr>
            <w:tcW w:type="dxa" w:w="7030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202B33"/>
                <w:sz w:val="20"/>
                <w:rtl w:val="1"/>
              </w:rPr>
              <w:t>شماره [      ] مورخ [      ]</w:t>
            </w:r>
          </w:p>
        </w:tc>
      </w:tr>
      <w:tr>
        <w:tc>
          <w:tcPr>
            <w:tcW w:type="dxa" w:w="294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نسخه NDA</w:t>
            </w:r>
          </w:p>
        </w:tc>
        <w:tc>
          <w:tcPr>
            <w:tcW w:type="dxa" w:w="7030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202B33"/>
                <w:sz w:val="20"/>
                <w:rtl w:val="1"/>
              </w:rPr>
              <w:t>شماره [      ] مورخ [      ]</w:t>
            </w:r>
          </w:p>
        </w:tc>
      </w:tr>
      <w:tr>
        <w:tc>
          <w:tcPr>
            <w:tcW w:type="dxa" w:w="294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سمت/واحد</w:t>
            </w:r>
          </w:p>
        </w:tc>
        <w:tc>
          <w:tcPr>
            <w:tcW w:type="dxa" w:w="7030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202B33"/>
                <w:sz w:val="20"/>
                <w:rtl w:val="1"/>
              </w:rPr>
              <w:t>[نام سمت] / [نام واحد]</w:t>
            </w:r>
          </w:p>
        </w:tc>
      </w:tr>
      <w:tr>
        <w:tc>
          <w:tcPr>
            <w:tcW w:type="dxa" w:w="294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سطح دسترسی</w:t>
            </w:r>
          </w:p>
        </w:tc>
        <w:tc>
          <w:tcPr>
            <w:tcW w:type="dxa" w:w="7030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202B33"/>
                <w:sz w:val="20"/>
                <w:rtl w:val="1"/>
              </w:rPr>
              <w:t>[داخلی / محرمانه / حیاتی]</w:t>
            </w:r>
          </w:p>
        </w:tc>
      </w:tr>
    </w:tbl>
    <w:p>
      <w:pPr>
        <w:pStyle w:val="Heading1"/>
        <w:jc w:val="right"/>
        <w:bidi w:val="1"/>
      </w:pPr>
      <w:r>
        <w:rPr>
          <w:rFonts w:ascii="Vazirmatn" w:hAnsi="Vazirmatn" w:cs="Vazirmatn" w:eastAsia="Vazirmatn"/>
          <w:rtl w:val="1"/>
        </w:rPr>
        <w:t>مقدمه و طرفین</w:t>
      </w:r>
    </w:p>
    <w:p>
      <w:pPr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2"/>
          <w:rtl w:val="1"/>
        </w:rPr>
        <w:t>این توافق میان [نام کامل کارفرما/شرکت] به شناسه/کد ملی [      ] به نمایندگی [نام و سمت] به نشانی [      ] که از این پس «کارفرما» نامیده می‌شود و آقا/خانم [نام کامل کارمند] به کد ملی [      ] و سمت [      ] که از این پس «کارمند» نامیده می‌شود، در ارتباط با قرارداد کار فوق منعقد شد.</w:t>
      </w:r>
    </w:p>
    <w:p>
      <w:pPr>
        <w:pStyle w:val="Heading1"/>
        <w:jc w:val="right"/>
        <w:bidi w:val="1"/>
      </w:pPr>
      <w:r>
        <w:rPr>
          <w:rFonts w:ascii="Vazirmatn" w:hAnsi="Vazirmatn" w:cs="Vazirmatn" w:eastAsia="Vazirmatn"/>
          <w:rtl w:val="1"/>
        </w:rPr>
        <w:t>ماده ۱ ـ هدف و رابطه اسناد</w:t>
      </w:r>
    </w:p>
    <w:p>
      <w:pPr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2"/>
          <w:rtl w:val="1"/>
        </w:rPr>
        <w:t>۱-۱. کارمند فقط برای انجام کارهایی که در قرارداد و شرح شغل آمده است می‌تواند از اطلاعات شرکت استفاده کند. ۱-۲. این توافق کنار قرارداد کار قرار می‌گیرد و هیچ‌کدام از حقوقی را که قانون کار برای طرفین تعیین کرده است حذف نمی‌کند.</w:t>
      </w:r>
    </w:p>
    <w:p>
      <w:pPr>
        <w:pStyle w:val="Heading1"/>
        <w:jc w:val="right"/>
        <w:bidi w:val="1"/>
      </w:pPr>
      <w:r>
        <w:rPr>
          <w:rFonts w:ascii="Vazirmatn" w:hAnsi="Vazirmatn" w:cs="Vazirmatn" w:eastAsia="Vazirmatn"/>
          <w:rtl w:val="1"/>
        </w:rPr>
        <w:t>ماده ۲ ـ اطلاعات محرمانه</w:t>
      </w:r>
    </w:p>
    <w:p>
      <w:pPr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2"/>
          <w:rtl w:val="1"/>
        </w:rPr>
        <w:t>منظور از اطلاعات محرمانه، اطلاعاتی است که عمومی نیست و شرکت واقعاً از آن محافظت می‌کند. موارد مربوط به این شغل باید در پیوست نوشته شوند؛ مانند [فهرست مشتریان و شرایط قراردادها]، [قیمت خرید و فروش]، [اطلاعات مالی و حقوق]، [کد، طرح، فرمول یا نقشه محصول]، [اطلاعات کارکنان]، [رمزها و مشخصات دسترسی] و [برنامه‌های تجاری].</w:t>
      </w:r>
    </w:p>
    <w:p>
      <w:pPr>
        <w:pStyle w:val="Heading1"/>
        <w:jc w:val="right"/>
        <w:bidi w:val="1"/>
      </w:pPr>
      <w:r>
        <w:rPr>
          <w:rFonts w:ascii="Vazirmatn" w:hAnsi="Vazirmatn" w:cs="Vazirmatn" w:eastAsia="Vazirmatn"/>
          <w:rtl w:val="1"/>
        </w:rPr>
        <w:t>ماده ۳ ـ موارد خارج از محرمانگی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• اطلاعاتی که کارمند بدون انجام تخلف، آن را در منابع عمومی پیدا می‌کند؛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• اطلاعاتی که کارمند پیش از همکاری به‌طور قانونی داشته و می‌تواند آن را ثابت کند؛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• اطلاعاتی که کارمند بدون استفاده از اطلاعات شرکت، خودش ایجاد کرده و می‌تواند آن را ثابت کند؛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• اطلاعاتی که شخص دیگری به‌طور قانونی و با حق انتشار در اختیار کارمند گذاشته است؛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• اطلاعاتی که باید طبق قانون یا دستور مرجع قانونی ارائه شود. اگر قانون اجازه دهد، کارمند پیش از ارائه موضوع را به شرکت خبر می‌دهد.</w:t>
      </w:r>
    </w:p>
    <w:p>
      <w:pPr>
        <w:pStyle w:val="Heading1"/>
        <w:jc w:val="right"/>
        <w:bidi w:val="1"/>
      </w:pPr>
      <w:r>
        <w:rPr>
          <w:rFonts w:ascii="Vazirmatn" w:hAnsi="Vazirmatn" w:cs="Vazirmatn" w:eastAsia="Vazirmatn"/>
          <w:rtl w:val="1"/>
        </w:rPr>
        <w:t>ماده ۴ ـ تعهدات استفاده و حفاظت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• استفاده فقط در حدود وظیفه و نیاز شغلی؛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• عدم افشا به همکار، پیمانکار یا شخص ثالث فاقد نیاز و مجوز؛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• عدم ارسال به ایمیل، پیام‌رسان، حافظه یا فضای ابری شخصی؛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• رعایت سیاست رمز، احراز هویت دومرحله‌ای، قفل دستگاه و به‌روزرسانی امنیتی؛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• عدم تکثیر، چاپ یا خروج فیزیکی مگر با مجوز [سمت تأییدکننده]؛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• گزارش هر گم‌شدن، دسترسی مشکوک، ارسال اشتباه یا افشای احتمالی بدون تأخیر و حداکثر ظرف [۲۴] ساعت از آگاهی، از طریق [کانال گزارش].</w:t>
      </w:r>
    </w:p>
    <w:p>
      <w:pPr>
        <w:pStyle w:val="Heading1"/>
        <w:jc w:val="right"/>
        <w:bidi w:val="1"/>
      </w:pPr>
      <w:r>
        <w:rPr>
          <w:rFonts w:ascii="Vazirmatn" w:hAnsi="Vazirmatn" w:cs="Vazirmatn" w:eastAsia="Vazirmatn"/>
          <w:rtl w:val="1"/>
        </w:rPr>
        <w:t>ماده ۵ ـ کنترل دسترسی و ابزار کار</w:t>
      </w:r>
    </w:p>
    <w:p>
      <w:pPr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2"/>
          <w:rtl w:val="1"/>
        </w:rPr>
        <w:t>حساب‌ها و ابزارهای سازمانی متعلق به کارفرما و برای استفاده شغلی‌اند. اعطای دسترسی با تأیید [سمت] و بر مبنای حداقل نیاز انجام می‌شود. کارمند حق اشتراک گذرواژه یا دورزدن کنترل‌ها را ندارد. پایش و ثبت رویداد باید در حدود قانون، سیاست اعلام‌شده و ضرورت امنیتی انجام شود.</w:t>
      </w:r>
    </w:p>
    <w:p>
      <w:pPr>
        <w:pStyle w:val="Heading1"/>
        <w:jc w:val="right"/>
        <w:bidi w:val="1"/>
      </w:pPr>
      <w:r>
        <w:rPr>
          <w:rFonts w:ascii="Vazirmatn" w:hAnsi="Vazirmatn" w:cs="Vazirmatn" w:eastAsia="Vazirmatn"/>
          <w:rtl w:val="1"/>
        </w:rPr>
        <w:t>ماده ۶ ـ فایل‌ها و خروجی‌های کاری</w:t>
      </w:r>
    </w:p>
    <w:p>
      <w:pPr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2"/>
          <w:rtl w:val="1"/>
        </w:rPr>
        <w:t>این قرارداد به‌تنهایی درباره مالکیت همه ایده‌ها و خروجی‌های کار تصمیم نمی‌گیرد. اگر مالکیت کد، طرح، محتوا یا محصول مهم است، باید در [بند یا پیوست مستقل شماره …] روشن و جداگانه نوشته شود.</w:t>
      </w:r>
    </w:p>
    <w:p>
      <w:pPr>
        <w:pStyle w:val="Heading1"/>
        <w:jc w:val="right"/>
        <w:bidi w:val="1"/>
      </w:pPr>
      <w:r>
        <w:rPr>
          <w:rFonts w:ascii="Vazirmatn" w:hAnsi="Vazirmatn" w:cs="Vazirmatn" w:eastAsia="Vazirmatn"/>
          <w:rtl w:val="1"/>
        </w:rPr>
        <w:t>ماده ۷ ـ مدت</w:t>
      </w:r>
    </w:p>
    <w:p>
      <w:pPr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2"/>
          <w:rtl w:val="1"/>
        </w:rPr>
        <w:t>تعهد عدم استفاده/افشای اطلاعات محرمانه عادی از تاریخ امضا آغاز و تا [مدت متناسب] پس از پایان همکاری ادامه دارد. درباره اطلاعاتی که معیارهای راز تجاری را حفظ می‌کنند، تعهد تا زمانی ادامه دارد که اطلاعات غیرعمومی، دارای ارزش اقتصادی مستقل و موضوع اقدامات حفاظتی معقول باشد؛ مگر قانون یا توافق معتبر مدت دیگری مقرر کند.</w:t>
      </w:r>
    </w:p>
    <w:p>
      <w:pPr>
        <w:pStyle w:val="Heading1"/>
        <w:jc w:val="right"/>
        <w:bidi w:val="1"/>
      </w:pPr>
      <w:r>
        <w:rPr>
          <w:rFonts w:ascii="Vazirmatn" w:hAnsi="Vazirmatn" w:cs="Vazirmatn" w:eastAsia="Vazirmatn"/>
          <w:rtl w:val="1"/>
        </w:rPr>
        <w:t>ماده ۸ ـ پایان همکاری و تحویل موارد باقی‌مانده</w:t>
      </w:r>
    </w:p>
    <w:p>
      <w:pPr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2"/>
          <w:rtl w:val="1"/>
        </w:rPr>
        <w:t>حداکثر تا پایان آخرین روز همکاری، کارمند وسایل، اسناد و نسخه‌هایی را که در اختیار دارد طبق صورتجلسه تحویل می‌دهد؛ فایل‌های غیرمجاز را حذف می‌کند؛ کارهای باز را تحویل می‌دهد؛ و در صورت درخواست، فرم تحویل یا حذف را امضا می‌کند. نسخه‌های پشتیبان سیستمی که در اختیار مستقیم کارمند نیست، طبق سیاست شرکت مدیریت می‌شود.</w:t>
      </w:r>
    </w:p>
    <w:p>
      <w:pPr>
        <w:pStyle w:val="Heading1"/>
        <w:jc w:val="right"/>
        <w:bidi w:val="1"/>
      </w:pPr>
      <w:r>
        <w:rPr>
          <w:rFonts w:ascii="Vazirmatn" w:hAnsi="Vazirmatn" w:cs="Vazirmatn" w:eastAsia="Vazirmatn"/>
          <w:rtl w:val="1"/>
        </w:rPr>
        <w:t>ماده ۹ ـ رخداد و همکاری در مهار</w:t>
      </w:r>
    </w:p>
    <w:p>
      <w:pPr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2"/>
          <w:rtl w:val="1"/>
        </w:rPr>
        <w:t>گزارش رخداد در مرحله نخست برای مهار و حفظ شواهد است و به‌تنهایی اقرار به تقصیر محسوب نمی‌شود. کارمند در حد متعارف برای تعیین دامنه، تغییر دسترسی‌ها، بازیابی داده و ثبت واقعه همکاری می‌کند. کارفرما نیز از اتهام‌زنی عمومی و دستکاری شواهد پرهیز می‌کند.</w:t>
      </w:r>
    </w:p>
    <w:p>
      <w:pPr>
        <w:pStyle w:val="Heading1"/>
        <w:jc w:val="right"/>
        <w:bidi w:val="1"/>
      </w:pPr>
      <w:r>
        <w:rPr>
          <w:rFonts w:ascii="Vazirmatn" w:hAnsi="Vazirmatn" w:cs="Vazirmatn" w:eastAsia="Vazirmatn"/>
          <w:rtl w:val="1"/>
        </w:rPr>
        <w:t>ماده ۱۰ ـ نقض، خسارت و تضمین</w:t>
      </w:r>
    </w:p>
    <w:p>
      <w:pPr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2"/>
          <w:rtl w:val="1"/>
        </w:rPr>
        <w:t>اگر شرکت احتمال دهد این قرارداد رعایت نشده است، ابتدا موضوع، زمان، نوع اطلاعات، دسترسی‌ها و مدارک را ثبت می‌کند و به کارمند فرصت توضیح می‌دهد. خسارت قراردادی احتمالی (وجه التزام): [مبلغ یا روش محاسبه ـ فقط پس از بازبینی وکیل]. سفته فقط طبق رسید و شرایط پیوست شماره [      ] نگهداری می‌شود و به‌معنای اجازه برداشت یا وصول خودکار نیست.</w:t>
      </w:r>
    </w:p>
    <w:p>
      <w:pPr>
        <w:pStyle w:val="Heading1"/>
        <w:jc w:val="right"/>
        <w:bidi w:val="1"/>
      </w:pPr>
      <w:r>
        <w:rPr>
          <w:rFonts w:ascii="Vazirmatn" w:hAnsi="Vazirmatn" w:cs="Vazirmatn" w:eastAsia="Vazirmatn"/>
          <w:rtl w:val="1"/>
        </w:rPr>
        <w:t>ماده ۱۱ ـ همکاری آینده با رقبا</w:t>
      </w:r>
    </w:p>
    <w:p>
      <w:pPr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2"/>
          <w:rtl w:val="1"/>
        </w:rPr>
        <w:t>این قرارداد به‌خودی‌خود مانع کارکردن کارمند در آینده نمی‌شود. اگر شرکت دلیل واقعی برای محدودکردن یک فعالیت مشخص دارد، باید موضوع، مدت و محدوده آن را در یک سند جدا و پس از بررسی وکیل بنویسد. در این نسخه هیچ ممنوعیت کلی برای کار آینده فعال نشده است.</w:t>
      </w:r>
    </w:p>
    <w:p>
      <w:pPr>
        <w:pStyle w:val="Heading1"/>
        <w:jc w:val="right"/>
        <w:bidi w:val="1"/>
      </w:pPr>
      <w:r>
        <w:rPr>
          <w:rFonts w:ascii="Vazirmatn" w:hAnsi="Vazirmatn" w:cs="Vazirmatn" w:eastAsia="Vazirmatn"/>
          <w:rtl w:val="1"/>
        </w:rPr>
        <w:t>ماده ۱۲ ـ حل اختلاف</w:t>
      </w:r>
    </w:p>
    <w:p>
      <w:pPr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2"/>
          <w:rtl w:val="1"/>
        </w:rPr>
        <w:t>طرفین ابتدا تا [۱۰] روز کاری برای گفت‌وگو، ثبت مدارک و حل مستقیم اختلاف تلاش می‌کنند. اختلافی که از رابطه کار و قانون کار به وجود آمده باشد، طبق ماده ۱۵۷ قانون کار در مراجع مربوط رسیدگی می‌شود. این بند مسیرهایی را که قانون تعیین کرده است تغییر نمی‌دهد.</w:t>
      </w:r>
    </w:p>
    <w:p>
      <w:pPr>
        <w:pStyle w:val="Heading1"/>
        <w:jc w:val="right"/>
        <w:bidi w:val="1"/>
      </w:pPr>
      <w:r>
        <w:rPr>
          <w:rFonts w:ascii="Vazirmatn" w:hAnsi="Vazirmatn" w:cs="Vazirmatn" w:eastAsia="Vazirmatn"/>
          <w:rtl w:val="1"/>
        </w:rPr>
        <w:t>ماده ۱۳ ـ نسخ، تغییر و قابلیت تفکیک</w:t>
      </w:r>
    </w:p>
    <w:p>
      <w:pPr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2"/>
          <w:rtl w:val="1"/>
        </w:rPr>
        <w:t>این توافق در [۲] نسخه یکسان امضا شد و یک نسخه به هر طرف رسید. هر تغییر باید کتبی و با امضای افراد مجاز باشد. اگر یک بخش از قرارداد قابل اجرا نباشد، تا جایی که قانون اجازه می‌دهد بقیه بخش‌ها معتبر می‌مانند.</w:t>
      </w:r>
    </w:p>
    <w:p>
      <w:pPr>
        <w:pStyle w:val="Heading1"/>
        <w:jc w:val="right"/>
        <w:bidi w:val="1"/>
      </w:pPr>
      <w:r>
        <w:rPr>
          <w:rFonts w:ascii="Vazirmatn" w:hAnsi="Vazirmatn" w:cs="Vazirmatn" w:eastAsia="Vazirmatn"/>
          <w:rtl w:val="1"/>
        </w:rPr>
        <w:t>پیوست نقش‌محور</w:t>
      </w:r>
    </w:p>
    <w:tbl>
      <w:tblPr>
        <w:tblW w:type="dxa" w:w="9977"/>
        <w:jc w:val="center"/>
        <w:tblLayout w:type="fixed"/>
        <w:tblLook w:firstColumn="1" w:firstRow="1" w:lastColumn="0" w:lastRow="0" w:noHBand="0" w:noVBand="1" w:val="04A0"/>
        <w:bidiVisual w:val="1"/>
        <w:tblInd w:w="120" w:type="dxa"/>
      </w:tblPr>
      <w:tblGrid>
        <w:gridCol w:w="2891"/>
        <w:gridCol w:w="1587"/>
        <w:gridCol w:w="2721"/>
        <w:gridCol w:w="2778"/>
      </w:tblGrid>
      <w:tr>
        <w:trPr>
          <w:tblHeader w:val="true"/>
        </w:trPr>
        <w:tc>
          <w:tcPr>
            <w:tcW w:type="dxa" w:w="2891"/>
            <w:tcMar>
              <w:top w:w="100" w:type="dxa"/>
              <w:start w:w="120" w:type="dxa"/>
              <w:bottom w:w="100" w:type="dxa"/>
              <w:end w:w="120" w:type="dxa"/>
            </w:tcMar>
            <w:shd w:fill="123F4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FFFFFF"/>
                <w:sz w:val="18"/>
                <w:rtl w:val="1"/>
              </w:rPr>
              <w:t>دارایی/اطلاعات</w:t>
            </w:r>
          </w:p>
        </w:tc>
        <w:tc>
          <w:tcPr>
            <w:tcW w:type="dxa" w:w="1587"/>
            <w:tcMar>
              <w:top w:w="100" w:type="dxa"/>
              <w:start w:w="120" w:type="dxa"/>
              <w:bottom w:w="100" w:type="dxa"/>
              <w:end w:w="120" w:type="dxa"/>
            </w:tcMar>
            <w:shd w:fill="123F4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FFFFFF"/>
                <w:sz w:val="18"/>
                <w:rtl w:val="1"/>
              </w:rPr>
              <w:t>سطح</w:t>
            </w:r>
          </w:p>
        </w:tc>
        <w:tc>
          <w:tcPr>
            <w:tcW w:type="dxa" w:w="2721"/>
            <w:tcMar>
              <w:top w:w="100" w:type="dxa"/>
              <w:start w:w="120" w:type="dxa"/>
              <w:bottom w:w="100" w:type="dxa"/>
              <w:end w:w="120" w:type="dxa"/>
            </w:tcMar>
            <w:shd w:fill="123F4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FFFFFF"/>
                <w:sz w:val="18"/>
                <w:rtl w:val="1"/>
              </w:rPr>
              <w:t>کاربرد مجاز</w:t>
            </w:r>
          </w:p>
        </w:tc>
        <w:tc>
          <w:tcPr>
            <w:tcW w:type="dxa" w:w="2778"/>
            <w:tcMar>
              <w:top w:w="100" w:type="dxa"/>
              <w:start w:w="120" w:type="dxa"/>
              <w:bottom w:w="100" w:type="dxa"/>
              <w:end w:w="120" w:type="dxa"/>
            </w:tcMar>
            <w:shd w:fill="123F4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FFFFFF"/>
                <w:sz w:val="18"/>
                <w:rtl w:val="1"/>
              </w:rPr>
              <w:t>محل نگهداری</w:t>
            </w:r>
          </w:p>
        </w:tc>
      </w:tr>
      <w:tr>
        <w:tc>
          <w:tcPr>
            <w:tcW w:type="dxa" w:w="2891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[مثال: فهرست مشتریان فعال]</w:t>
            </w:r>
          </w:p>
        </w:tc>
        <w:tc>
          <w:tcPr>
            <w:tcW w:type="dxa" w:w="1587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[محرمانه]</w:t>
            </w:r>
          </w:p>
        </w:tc>
        <w:tc>
          <w:tcPr>
            <w:tcW w:type="dxa" w:w="2721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[پیگیری فروش]</w:t>
            </w:r>
          </w:p>
        </w:tc>
        <w:tc>
          <w:tcPr>
            <w:tcW w:type="dxa" w:w="277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[CRM شرکت]</w:t>
            </w:r>
          </w:p>
        </w:tc>
      </w:tr>
      <w:tr>
        <w:tc>
          <w:tcPr>
            <w:tcW w:type="dxa" w:w="2891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                 ]</w:t>
            </w:r>
          </w:p>
        </w:tc>
        <w:tc>
          <w:tcPr>
            <w:tcW w:type="dxa" w:w="1587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  ]</w:t>
            </w:r>
          </w:p>
        </w:tc>
        <w:tc>
          <w:tcPr>
            <w:tcW w:type="dxa" w:w="2721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            ]</w:t>
            </w:r>
          </w:p>
        </w:tc>
        <w:tc>
          <w:tcPr>
            <w:tcW w:type="dxa" w:w="277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            ]</w:t>
            </w:r>
          </w:p>
        </w:tc>
      </w:tr>
      <w:tr>
        <w:tc>
          <w:tcPr>
            <w:tcW w:type="dxa" w:w="2891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                 ]</w:t>
            </w:r>
          </w:p>
        </w:tc>
        <w:tc>
          <w:tcPr>
            <w:tcW w:type="dxa" w:w="1587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  ]</w:t>
            </w:r>
          </w:p>
        </w:tc>
        <w:tc>
          <w:tcPr>
            <w:tcW w:type="dxa" w:w="2721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            ]</w:t>
            </w:r>
          </w:p>
        </w:tc>
        <w:tc>
          <w:tcPr>
            <w:tcW w:type="dxa" w:w="277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            ]</w:t>
            </w:r>
          </w:p>
        </w:tc>
      </w:tr>
    </w:tbl>
    <w:p>
      <w:pPr>
        <w:jc w:val="right"/>
        <w:bidi w:val="1"/>
      </w:pPr>
    </w:p>
    <w:tbl>
      <w:tblPr>
        <w:tblW w:type="dxa" w:w="9978"/>
        <w:jc w:val="center"/>
        <w:tblLayout w:type="fixed"/>
        <w:tblLook w:firstColumn="1" w:firstRow="1" w:lastColumn="0" w:lastRow="0" w:noHBand="0" w:noVBand="1" w:val="04A0"/>
        <w:bidiVisual w:val="1"/>
        <w:tblInd w:w="120" w:type="dxa"/>
      </w:tblPr>
      <w:tblGrid>
        <w:gridCol w:w="4989"/>
        <w:gridCol w:w="4989"/>
      </w:tblGrid>
      <w:tr>
        <w:tc>
          <w:tcPr>
            <w:tcW w:type="dxa" w:w="4989"/>
            <w:shd w:fill="EDF5F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  <w:bidi w:val="1"/>
            </w:pPr>
            <w:r>
              <w:rPr>
                <w:rFonts w:ascii="Vazirmatn" w:hAnsi="Vazirmatn" w:cs="Vazirmatn" w:eastAsia="Vazirmatn"/>
                <w:b/>
                <w:color w:val="123F44"/>
                <w:sz w:val="19"/>
                <w:rtl w:val="1"/>
              </w:rPr>
              <w:t>کارمند / متعهد</w:t>
            </w:r>
          </w:p>
        </w:tc>
        <w:tc>
          <w:tcPr>
            <w:tcW w:type="dxa" w:w="4989"/>
            <w:shd w:fill="EDF5F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  <w:bidi w:val="1"/>
            </w:pPr>
            <w:r>
              <w:rPr>
                <w:rFonts w:ascii="Vazirmatn" w:hAnsi="Vazirmatn" w:cs="Vazirmatn" w:eastAsia="Vazirmatn"/>
                <w:b/>
                <w:color w:val="123F44"/>
                <w:sz w:val="19"/>
                <w:rtl w:val="1"/>
              </w:rPr>
              <w:t>کارفرما / نماینده مجاز</w:t>
            </w:r>
          </w:p>
        </w:tc>
      </w:tr>
      <w:tr>
        <w:tc>
          <w:tcPr>
            <w:tcW w:type="dxa" w:w="4989"/>
            <w:tcMar>
              <w:top w:w="120" w:type="dxa"/>
              <w:start w:w="120" w:type="dxa"/>
              <w:bottom w:w="500" w:type="dxa"/>
              <w:end w:w="12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sz w:val="20"/>
                <w:rtl w:val="1"/>
              </w:rPr>
              <w:t>نام و نام خانوادگی: [                 ]</w:t>
              <w:br/>
              <w:t>سمت: [                 ]</w:t>
              <w:br/>
              <w:t>تاریخ: [                 ]</w:t>
              <w:br/>
              <w:t>امضا/اثر انگشت:</w:t>
            </w:r>
          </w:p>
        </w:tc>
        <w:tc>
          <w:tcPr>
            <w:tcW w:type="dxa" w:w="4989"/>
            <w:tcMar>
              <w:top w:w="120" w:type="dxa"/>
              <w:start w:w="120" w:type="dxa"/>
              <w:bottom w:w="500" w:type="dxa"/>
              <w:end w:w="12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sz w:val="20"/>
                <w:rtl w:val="1"/>
              </w:rPr>
              <w:t>نام و نام خانوادگی: [                 ]</w:t>
              <w:br/>
              <w:t>سمت: [                 ]</w:t>
              <w:br/>
              <w:t>تاریخ: [                 ]</w:t>
              <w:br/>
              <w:t>امضا/اثر انگشت:</w:t>
            </w:r>
          </w:p>
        </w:tc>
      </w:tr>
    </w:tbl>
    <w:tbl>
      <w:tblPr>
        <w:tblW w:type="dxa" w:w="9979"/>
        <w:jc w:val="center"/>
        <w:tblLayout w:type="fixed"/>
        <w:tblLook w:firstColumn="1" w:firstRow="1" w:lastColumn="0" w:lastRow="0" w:noHBand="0" w:noVBand="1" w:val="04A0"/>
        <w:bidiVisual w:val="1"/>
        <w:tblInd w:w="180" w:type="dxa"/>
      </w:tblPr>
      <w:tblGrid>
        <w:gridCol w:w="9979"/>
      </w:tblGrid>
      <w:tr>
        <w:tc>
          <w:tcPr>
            <w:tcW w:type="dxa" w:w="9979"/>
            <w:shd w:fill="FCE8E6"/>
            <w:tcMar>
              <w:top w:w="120" w:type="dxa"/>
              <w:start w:w="180" w:type="dxa"/>
              <w:bottom w:w="120" w:type="dxa"/>
              <w:end w:w="18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123F44"/>
                <w:sz w:val="19"/>
                <w:rtl w:val="1"/>
              </w:rPr>
              <w:t xml:space="preserve">یادآوری حقوقی: </w:t>
            </w:r>
            <w:r>
              <w:rPr>
                <w:rFonts w:ascii="Vazirmatn" w:hAnsi="Vazirmatn" w:cs="Vazirmatn" w:eastAsia="Vazirmatn"/>
                <w:b w:val="0"/>
                <w:color w:val="202B33"/>
                <w:sz w:val="19"/>
                <w:rtl w:val="1"/>
              </w:rPr>
              <w:t>این فایل یک الگوی عمومی است. پیش از امضا، اقدام روی سفته، مطالبه خسارت یا تصمیم انضباطی، متن نهایی و مدارک همان پرونده را به وکیل آشنا با حقوق کار نشان دهید.</w:t>
            </w:r>
          </w:p>
        </w:tc>
      </w:tr>
    </w:tbl>
    <w:p>
      <w:pPr>
        <w:spacing w:after="0"/>
        <w:jc w:val="right"/>
        <w:bidi w:val="1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992" w:right="964" w:bottom="935" w:left="964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bidi w:val="1"/>
    </w:pPr>
    <w:r>
      <w:rPr>
        <w:rFonts w:ascii="Vazirmatn" w:hAnsi="Vazirmatn" w:cs="Vazirmatn" w:eastAsia="Vazirmatn"/>
        <w:color w:val="66737B"/>
        <w:sz w:val="16"/>
        <w:rtl w:val="1"/>
      </w:rPr>
      <w:t xml:space="preserve">صفحه </w:t>
      <w:fldChar w:fldCharType="begin"/>
      <w:instrText xml:space="preserve"> PAGE </w:instrText>
      <w:fldChar w:fldCharType="end"/>
    </w:r>
    <w:r>
      <w:rPr>
        <w:rFonts w:ascii="Vazirmatn" w:hAnsi="Vazirmatn" w:cs="Vazirmatn" w:eastAsia="Vazirmatn"/>
        <w:b w:val="0"/>
        <w:color w:val="66737B"/>
        <w:sz w:val="16"/>
        <w:rtl w:val="1"/>
      </w:rPr>
      <w:t xml:space="preserve"> | © محمد جواد برزگر — استفاده داخلی طبق مجوز محصول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9979"/>
      <w:jc w:val="center"/>
      <w:tblLayout w:type="fixed"/>
      <w:tblLook w:firstColumn="1" w:firstRow="1" w:lastColumn="0" w:lastRow="0" w:noHBand="0" w:noVBand="1" w:val="04A0"/>
      <w:bidiVisual w:val="1"/>
      <w:tblInd w:w="20" w:type="dxa"/>
    </w:tblPr>
    <w:tblGrid>
      <w:gridCol w:w="7144"/>
      <w:gridCol w:w="2835"/>
    </w:tblGrid>
    <w:tr>
      <w:tc>
        <w:tcPr>
          <w:tcW w:type="dxa" w:w="7144"/>
          <w:tcMar>
            <w:top w:w="20" w:type="dxa"/>
            <w:start w:w="20" w:type="dxa"/>
            <w:bottom w:w="20" w:type="dxa"/>
            <w:end w:w="20" w:type="dxa"/>
          </w:tcMar>
        </w:tcPr>
        <w:p>
          <w:pPr>
            <w:jc w:val="right"/>
            <w:bidi w:val="1"/>
          </w:pPr>
          <w:r>
            <w:rPr>
              <w:rFonts w:ascii="Vazirmatn" w:hAnsi="Vazirmatn" w:cs="Vazirmatn" w:eastAsia="Vazirmatn"/>
              <w:b/>
              <w:color w:val="123F44"/>
              <w:sz w:val="17"/>
              <w:rtl w:val="1"/>
            </w:rPr>
            <w:t>محمد جواد برزگر | ابزارهای مدیریت کسب‌وکار</w:t>
          </w:r>
        </w:p>
      </w:tc>
      <w:tc>
        <w:tcPr>
          <w:tcW w:type="dxa" w:w="2835"/>
          <w:tcMar>
            <w:top w:w="20" w:type="dxa"/>
            <w:start w:w="20" w:type="dxa"/>
            <w:bottom w:w="20" w:type="dxa"/>
            <w:end w:w="20" w:type="dxa"/>
          </w:tcMar>
        </w:tcPr>
        <w:p>
          <w:pPr>
            <w:jc w:val="left"/>
            <w:bidi w:val="1"/>
          </w:pPr>
          <w:r>
            <w:rPr>
              <w:rFonts w:ascii="Vazirmatn" w:hAnsi="Vazirmatn" w:cs="Vazirmatn" w:eastAsia="Vazirmatn"/>
              <w:b w:val="0"/>
              <w:color w:val="66737B"/>
              <w:sz w:val="16"/>
              <w:rtl w:val="1"/>
            </w:rPr>
            <w:t>NDA-KIT-01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Vazirmatn" w:hAnsi="Vazirmatn" w:cs="Vazirmatn"/>
      <w:color w:val="202B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60"/>
      <w:outlineLvl w:val="0"/>
    </w:pPr>
    <w:rPr>
      <w:rFonts w:asciiTheme="majorHAnsi" w:eastAsiaTheme="majorEastAsia" w:hAnsiTheme="majorHAnsi" w:cstheme="majorBidi" w:ascii="Vazirmatn" w:hAnsi="Vazirmatn" w:cs="Vazirmatn"/>
      <w:b/>
      <w:bCs/>
      <w:color w:val="123F44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 w:ascii="Vazirmatn" w:hAnsi="Vazirmatn" w:cs="Vazirmatn"/>
      <w:b/>
      <w:bCs/>
      <w:color w:val="21666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 w:ascii="Vazirmatn" w:hAnsi="Vazirmatn" w:cs="Vazirmatn"/>
      <w:b/>
      <w:bCs/>
      <w:color w:val="202B33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20" w:line="240" w:lineRule="auto" w:before="0"/>
      <w:contextualSpacing/>
    </w:pPr>
    <w:rPr>
      <w:rFonts w:asciiTheme="majorHAnsi" w:eastAsiaTheme="majorEastAsia" w:hAnsiTheme="majorHAnsi" w:cstheme="majorBidi" w:ascii="Vazirmatn" w:hAnsi="Vazirmatn" w:cs="Vazirmatn"/>
      <w:b/>
      <w:color w:val="123F44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120"/>
    </w:pPr>
    <w:rPr>
      <w:rFonts w:asciiTheme="majorHAnsi" w:eastAsiaTheme="majorEastAsia" w:hAnsiTheme="majorHAnsi" w:cstheme="majorBidi" w:ascii="Vazirmatn" w:hAnsi="Vazirmatn" w:cs="Vazirmatn"/>
      <w:b w:val="0"/>
      <w:i/>
      <w:iCs/>
      <w:color w:val="66737B"/>
      <w:spacing w:val="15"/>
      <w:sz w:val="2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01-قرارداد-NDA-کارفرما-کارگر</dc:title>
  <dc:subject>کیت حفاظت از اطلاعات کارکنان</dc:subject>
  <dc:creator>محمد جواد برزگر</dc:creator>
  <cp:keywords>NDA, محرمانگی, سفته, منابع انسانی, محمد جواد برزگر</cp:keywords>
  <dc:description>generated by python-docx</dc:description>
  <cp:lastModifiedBy>محمد جواد برزگر</cp:lastModifiedBy>
  <cp:revision>1</cp:revision>
  <dcterms:created xsi:type="dcterms:W3CDTF">2013-12-23T23:15:00Z</dcterms:created>
  <dcterms:modified xsi:type="dcterms:W3CDTF">2013-12-23T23:15:00Z</dcterms:modified>
  <cp:category/>
</cp:coreProperties>
</file>