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dxa" w:w="9979"/>
        <w:jc w:val="center"/>
        <w:tblLayout w:type="fixed"/>
        <w:tblLook w:firstColumn="1" w:firstRow="1" w:lastColumn="0" w:lastRow="0" w:noHBand="0" w:noVBand="1" w:val="04A0"/>
        <w:bidiVisual w:val="1"/>
        <w:tblInd w:w="180" w:type="dxa"/>
      </w:tblPr>
      <w:tblGrid>
        <w:gridCol w:w="9979"/>
      </w:tblGrid>
      <w:tr>
        <w:tc>
          <w:tcPr>
            <w:tcW w:type="dxa" w:w="9979"/>
            <w:shd w:fill="EDF5F4"/>
            <w:tcMar>
              <w:top w:w="90" w:type="dxa"/>
              <w:start w:w="180" w:type="dxa"/>
              <w:bottom w:w="90" w:type="dxa"/>
              <w:end w:w="180" w:type="dxa"/>
            </w:tcMar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/>
                <w:color w:val="123F44"/>
                <w:sz w:val="19"/>
                <w:rtl w:val="1"/>
              </w:rPr>
              <w:t>نسخه حرفه‌ای Word | فارسی، راست‌چین و قابل‌ویرایش</w:t>
            </w:r>
          </w:p>
        </w:tc>
      </w:tr>
    </w:tbl>
    <w:p>
      <w:pPr>
        <w:pStyle w:val="Title"/>
        <w:jc w:val="right"/>
        <w:bidi w:val="1"/>
      </w:pPr>
      <w:r>
        <w:rPr>
          <w:rFonts w:ascii="Vazirmatn" w:hAnsi="Vazirmatn" w:cs="Vazirmatn" w:eastAsia="Vazirmatn"/>
          <w:rtl w:val="1"/>
        </w:rPr>
        <w:t>چک‌لیست خروج و قطع دسترسی</w:t>
      </w:r>
    </w:p>
    <w:p>
      <w:pPr>
        <w:pStyle w:val="Subtitle"/>
        <w:jc w:val="right"/>
        <w:bidi w:val="1"/>
      </w:pPr>
      <w:r>
        <w:rPr>
          <w:rFonts w:ascii="Vazirmatn" w:hAnsi="Vazirmatn" w:cs="Vazirmatn" w:eastAsia="Vazirmatn"/>
          <w:rtl w:val="1"/>
        </w:rPr>
        <w:t>زمان‌بندی کوتاه از هفت روز قبل تا هفت روز بعد</w:t>
      </w:r>
    </w:p>
    <w:tbl>
      <w:tblPr>
        <w:tblW w:type="dxa" w:w="9978"/>
        <w:jc w:val="center"/>
        <w:tblLayout w:type="fixed"/>
        <w:tblLook w:firstColumn="1" w:firstRow="1" w:lastColumn="0" w:lastRow="0" w:noHBand="0" w:noVBand="1" w:val="04A0"/>
        <w:bidiVisual w:val="1"/>
        <w:tblInd w:w="120" w:type="dxa"/>
      </w:tblPr>
      <w:tblGrid>
        <w:gridCol w:w="7484"/>
        <w:gridCol w:w="2494"/>
      </w:tblGrid>
      <w:tr>
        <w:tc>
          <w:tcPr>
            <w:tcW w:type="dxa" w:w="7484"/>
            <w:tcMar>
              <w:top w:w="100" w:type="dxa"/>
              <w:start w:w="120" w:type="dxa"/>
              <w:bottom w:w="100" w:type="dxa"/>
              <w:end w:w="120" w:type="dxa"/>
            </w:tcMar>
            <w:shd w:fill="F7F9F8"/>
            <w:vAlign w:val="center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18"/>
                <w:rtl w:val="1"/>
              </w:rPr>
              <w:t>آماده تکمیل؛ نسخه نهایی پیش از امضا بازبینی شود</w:t>
            </w:r>
          </w:p>
        </w:tc>
        <w:tc>
          <w:tcPr>
            <w:tcW w:type="dxa" w:w="2494"/>
            <w:tcMar>
              <w:top w:w="100" w:type="dxa"/>
              <w:start w:w="120" w:type="dxa"/>
              <w:bottom w:w="100" w:type="dxa"/>
              <w:end w:w="120" w:type="dxa"/>
            </w:tcMar>
            <w:shd w:fill="EDF5F4"/>
            <w:vAlign w:val="center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/>
                <w:color w:val="123F44"/>
                <w:sz w:val="18"/>
                <w:rtl w:val="1"/>
              </w:rPr>
              <w:t>وضعیت</w:t>
            </w:r>
          </w:p>
        </w:tc>
      </w:tr>
      <w:tr>
        <w:tc>
          <w:tcPr>
            <w:tcW w:type="dxa" w:w="7484"/>
            <w:tcMar>
              <w:top w:w="100" w:type="dxa"/>
              <w:start w:w="120" w:type="dxa"/>
              <w:bottom w:w="100" w:type="dxa"/>
              <w:end w:w="120" w:type="dxa"/>
            </w:tcMar>
            <w:shd w:fill="F7F9F8"/>
            <w:vAlign w:val="center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18"/>
                <w:rtl w:val="1"/>
              </w:rPr>
              <w:t>۲.۰ | تاریخ بازبینی محتوایی: ۱۴۰۵/۰۵/۲۲</w:t>
            </w:r>
          </w:p>
        </w:tc>
        <w:tc>
          <w:tcPr>
            <w:tcW w:type="dxa" w:w="2494"/>
            <w:tcMar>
              <w:top w:w="100" w:type="dxa"/>
              <w:start w:w="120" w:type="dxa"/>
              <w:bottom w:w="100" w:type="dxa"/>
              <w:end w:w="120" w:type="dxa"/>
            </w:tcMar>
            <w:shd w:fill="EDF5F4"/>
            <w:vAlign w:val="center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/>
                <w:color w:val="123F44"/>
                <w:sz w:val="18"/>
                <w:rtl w:val="1"/>
              </w:rPr>
              <w:t>نسخه</w:t>
            </w:r>
          </w:p>
        </w:tc>
      </w:tr>
    </w:tbl>
    <w:tbl>
      <w:tblPr>
        <w:tblW w:type="dxa" w:w="9979"/>
        <w:jc w:val="center"/>
        <w:tblLayout w:type="fixed"/>
        <w:tblLook w:firstColumn="1" w:firstRow="1" w:lastColumn="0" w:lastRow="0" w:noHBand="0" w:noVBand="1" w:val="04A0"/>
        <w:bidiVisual w:val="1"/>
        <w:tblInd w:w="180" w:type="dxa"/>
      </w:tblPr>
      <w:tblGrid>
        <w:gridCol w:w="9979"/>
      </w:tblGrid>
      <w:tr>
        <w:tc>
          <w:tcPr>
            <w:tcW w:type="dxa" w:w="9979"/>
            <w:shd w:fill="FBF4E6"/>
            <w:tcMar>
              <w:top w:w="120" w:type="dxa"/>
              <w:start w:w="180" w:type="dxa"/>
              <w:bottom w:w="120" w:type="dxa"/>
              <w:end w:w="180" w:type="dxa"/>
            </w:tcMar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/>
                <w:color w:val="123F44"/>
                <w:sz w:val="19"/>
                <w:rtl w:val="1"/>
              </w:rPr>
              <w:t xml:space="preserve">قبل از استفاده: </w:t>
            </w:r>
            <w:r>
              <w:rPr>
                <w:rFonts w:ascii="Vazirmatn" w:hAnsi="Vazirmatn" w:cs="Vazirmatn" w:eastAsia="Vazirmatn"/>
                <w:b w:val="0"/>
                <w:color w:val="202B33"/>
                <w:sz w:val="19"/>
                <w:rtl w:val="1"/>
              </w:rPr>
              <w:t>هر عبارتی که داخل کروشه است باید با اطلاعات واقعی شرکت و شغل جایگزین شود. مبلغ سفته، خسارت قراردادی، مدت تعهد و هر محدودیت بعد از همکاری را بدون بررسی وکیل نهایی نکنید.</w:t>
            </w:r>
          </w:p>
        </w:tc>
      </w:tr>
    </w:tbl>
    <w:p>
      <w:pPr>
        <w:spacing w:after="0"/>
        <w:jc w:val="right"/>
        <w:bidi w:val="1"/>
      </w:pPr>
    </w:p>
    <w:p>
      <w:pPr>
        <w:pStyle w:val="Heading1"/>
        <w:jc w:val="right"/>
        <w:bidi w:val="1"/>
      </w:pPr>
      <w:r>
        <w:rPr>
          <w:rFonts w:ascii="Vazirmatn" w:hAnsi="Vazirmatn" w:cs="Vazirmatn" w:eastAsia="Vazirmatn"/>
          <w:rtl w:val="1"/>
        </w:rPr>
        <w:t>T-7 تا T-1 | آماده‌سازی</w:t>
      </w:r>
    </w:p>
    <w:p>
      <w:pPr>
        <w:ind w:left="142" w:right="142"/>
        <w:jc w:val="right"/>
        <w:bidi w:val="1"/>
      </w:pPr>
      <w:r>
        <w:rPr>
          <w:rFonts w:ascii="Vazirmatn" w:hAnsi="Vazirmatn" w:cs="Vazirmatn" w:eastAsia="Vazirmatn"/>
          <w:b w:val="0"/>
          <w:color w:val="202B33"/>
          <w:sz w:val="21"/>
          <w:rtl w:val="1"/>
        </w:rPr>
        <w:t>☐ تاریخ و ساعت پایان دسترسی با مدیر مستقیم نهایی شود.</w:t>
      </w:r>
    </w:p>
    <w:p>
      <w:pPr>
        <w:ind w:left="142" w:right="142"/>
        <w:jc w:val="right"/>
        <w:bidi w:val="1"/>
      </w:pPr>
      <w:r>
        <w:rPr>
          <w:rFonts w:ascii="Vazirmatn" w:hAnsi="Vazirmatn" w:cs="Vazirmatn" w:eastAsia="Vazirmatn"/>
          <w:b w:val="0"/>
          <w:color w:val="202B33"/>
          <w:sz w:val="21"/>
          <w:rtl w:val="1"/>
        </w:rPr>
        <w:t>☐ فهرست حساب‌ها از ماتریس دسترسی استخراج شود.</w:t>
      </w:r>
    </w:p>
    <w:p>
      <w:pPr>
        <w:ind w:left="142" w:right="142"/>
        <w:jc w:val="right"/>
        <w:bidi w:val="1"/>
      </w:pPr>
      <w:r>
        <w:rPr>
          <w:rFonts w:ascii="Vazirmatn" w:hAnsi="Vazirmatn" w:cs="Vazirmatn" w:eastAsia="Vazirmatn"/>
          <w:b w:val="0"/>
          <w:color w:val="202B33"/>
          <w:sz w:val="21"/>
          <w:rtl w:val="1"/>
        </w:rPr>
        <w:t>☐ جانشین/تحویل‌گیرنده کارها و مشتریان تعیین شود.</w:t>
      </w:r>
    </w:p>
    <w:p>
      <w:pPr>
        <w:ind w:left="142" w:right="142"/>
        <w:jc w:val="right"/>
        <w:bidi w:val="1"/>
      </w:pPr>
      <w:r>
        <w:rPr>
          <w:rFonts w:ascii="Vazirmatn" w:hAnsi="Vazirmatn" w:cs="Vazirmatn" w:eastAsia="Vazirmatn"/>
          <w:b w:val="0"/>
          <w:color w:val="202B33"/>
          <w:sz w:val="21"/>
          <w:rtl w:val="1"/>
        </w:rPr>
        <w:t>☐ فهرست تجهیزات و شماره دارایی آماده شود.</w:t>
      </w:r>
    </w:p>
    <w:p>
      <w:pPr>
        <w:ind w:left="142" w:right="142"/>
        <w:jc w:val="right"/>
        <w:bidi w:val="1"/>
      </w:pPr>
      <w:r>
        <w:rPr>
          <w:rFonts w:ascii="Vazirmatn" w:hAnsi="Vazirmatn" w:cs="Vazirmatn" w:eastAsia="Vazirmatn"/>
          <w:b w:val="0"/>
          <w:color w:val="202B33"/>
          <w:sz w:val="21"/>
          <w:rtl w:val="1"/>
        </w:rPr>
        <w:t>☐ اصل سفته و رسید مربوط از محل نگهداری تطبیق شود.</w:t>
      </w:r>
    </w:p>
    <w:p>
      <w:pPr>
        <w:pStyle w:val="Heading1"/>
        <w:jc w:val="right"/>
        <w:bidi w:val="1"/>
      </w:pPr>
      <w:r>
        <w:rPr>
          <w:rFonts w:ascii="Vazirmatn" w:hAnsi="Vazirmatn" w:cs="Vazirmatn" w:eastAsia="Vazirmatn"/>
          <w:rtl w:val="1"/>
        </w:rPr>
        <w:t>روز آخر | اجرا</w:t>
      </w:r>
    </w:p>
    <w:p>
      <w:pPr>
        <w:ind w:left="142" w:right="142"/>
        <w:jc w:val="right"/>
        <w:bidi w:val="1"/>
      </w:pPr>
      <w:r>
        <w:rPr>
          <w:rFonts w:ascii="Vazirmatn" w:hAnsi="Vazirmatn" w:cs="Vazirmatn" w:eastAsia="Vazirmatn"/>
          <w:b w:val="0"/>
          <w:color w:val="202B33"/>
          <w:sz w:val="21"/>
          <w:rtl w:val="1"/>
        </w:rPr>
        <w:t>☐ ایمیل، VPN، CRM، مالی، ابری، کد و پنل‌ها قطع/منتقل شوند.</w:t>
      </w:r>
    </w:p>
    <w:p>
      <w:pPr>
        <w:ind w:left="142" w:right="142"/>
        <w:jc w:val="right"/>
        <w:bidi w:val="1"/>
      </w:pPr>
      <w:r>
        <w:rPr>
          <w:rFonts w:ascii="Vazirmatn" w:hAnsi="Vazirmatn" w:cs="Vazirmatn" w:eastAsia="Vazirmatn"/>
          <w:b w:val="0"/>
          <w:color w:val="202B33"/>
          <w:sz w:val="21"/>
          <w:rtl w:val="1"/>
        </w:rPr>
        <w:t>☐ نشست تحویل کار و دانش برگزار و فایل‌ها منتقل شوند.</w:t>
      </w:r>
    </w:p>
    <w:p>
      <w:pPr>
        <w:ind w:left="142" w:right="142"/>
        <w:jc w:val="right"/>
        <w:bidi w:val="1"/>
      </w:pPr>
      <w:r>
        <w:rPr>
          <w:rFonts w:ascii="Vazirmatn" w:hAnsi="Vazirmatn" w:cs="Vazirmatn" w:eastAsia="Vazirmatn"/>
          <w:b w:val="0"/>
          <w:color w:val="202B33"/>
          <w:sz w:val="21"/>
          <w:rtl w:val="1"/>
        </w:rPr>
        <w:t>☐ تجهیزات، کارت، کلید و اسناد با وضعیت ثبت شوند.</w:t>
      </w:r>
    </w:p>
    <w:p>
      <w:pPr>
        <w:ind w:left="142" w:right="142"/>
        <w:jc w:val="right"/>
        <w:bidi w:val="1"/>
      </w:pPr>
      <w:r>
        <w:rPr>
          <w:rFonts w:ascii="Vazirmatn" w:hAnsi="Vazirmatn" w:cs="Vazirmatn" w:eastAsia="Vazirmatn"/>
          <w:b w:val="0"/>
          <w:color w:val="202B33"/>
          <w:sz w:val="21"/>
          <w:rtl w:val="1"/>
        </w:rPr>
        <w:t>☐ نسخه‌های غیرمجاز طبق صورتجلسه حذف شوند.</w:t>
      </w:r>
    </w:p>
    <w:p>
      <w:pPr>
        <w:ind w:left="142" w:right="142"/>
        <w:jc w:val="right"/>
        <w:bidi w:val="1"/>
      </w:pPr>
      <w:r>
        <w:rPr>
          <w:rFonts w:ascii="Vazirmatn" w:hAnsi="Vazirmatn" w:cs="Vazirmatn" w:eastAsia="Vazirmatn"/>
          <w:b w:val="0"/>
          <w:color w:val="202B33"/>
          <w:sz w:val="21"/>
          <w:rtl w:val="1"/>
        </w:rPr>
        <w:t>☐ تعهد محرمانگی محترمانه یادآوری شود.</w:t>
      </w:r>
    </w:p>
    <w:p>
      <w:pPr>
        <w:pStyle w:val="Heading1"/>
        <w:jc w:val="right"/>
        <w:bidi w:val="1"/>
      </w:pPr>
      <w:r>
        <w:rPr>
          <w:rFonts w:ascii="Vazirmatn" w:hAnsi="Vazirmatn" w:cs="Vazirmatn" w:eastAsia="Vazirmatn"/>
          <w:rtl w:val="1"/>
        </w:rPr>
        <w:t>T+1 | کنترل</w:t>
      </w:r>
    </w:p>
    <w:p>
      <w:pPr>
        <w:ind w:left="142" w:right="142"/>
        <w:jc w:val="right"/>
        <w:bidi w:val="1"/>
      </w:pPr>
      <w:r>
        <w:rPr>
          <w:rFonts w:ascii="Vazirmatn" w:hAnsi="Vazirmatn" w:cs="Vazirmatn" w:eastAsia="Vazirmatn"/>
          <w:b w:val="0"/>
          <w:color w:val="202B33"/>
          <w:sz w:val="21"/>
          <w:rtl w:val="1"/>
        </w:rPr>
        <w:t>☐ ورود موفق با حساب قبلی از سمت فناوری بررسی شود.</w:t>
      </w:r>
    </w:p>
    <w:p>
      <w:pPr>
        <w:ind w:left="142" w:right="142"/>
        <w:jc w:val="right"/>
        <w:bidi w:val="1"/>
      </w:pPr>
      <w:r>
        <w:rPr>
          <w:rFonts w:ascii="Vazirmatn" w:hAnsi="Vazirmatn" w:cs="Vazirmatn" w:eastAsia="Vazirmatn"/>
          <w:b w:val="0"/>
          <w:color w:val="202B33"/>
          <w:sz w:val="21"/>
          <w:rtl w:val="1"/>
        </w:rPr>
        <w:t>☐ نشانی‌های ایمیل و مالکیت فایل‌های مشترک کنترل شود.</w:t>
      </w:r>
    </w:p>
    <w:p>
      <w:pPr>
        <w:ind w:left="142" w:right="142"/>
        <w:jc w:val="right"/>
        <w:bidi w:val="1"/>
      </w:pPr>
      <w:r>
        <w:rPr>
          <w:rFonts w:ascii="Vazirmatn" w:hAnsi="Vazirmatn" w:cs="Vazirmatn" w:eastAsia="Vazirmatn"/>
          <w:b w:val="0"/>
          <w:color w:val="202B33"/>
          <w:sz w:val="21"/>
          <w:rtl w:val="1"/>
        </w:rPr>
        <w:t>☐ رمزهای مشترک و کلیدهای API تعویض شوند.</w:t>
      </w:r>
    </w:p>
    <w:p>
      <w:pPr>
        <w:ind w:left="142" w:right="142"/>
        <w:jc w:val="right"/>
        <w:bidi w:val="1"/>
      </w:pPr>
      <w:r>
        <w:rPr>
          <w:rFonts w:ascii="Vazirmatn" w:hAnsi="Vazirmatn" w:cs="Vazirmatn" w:eastAsia="Vazirmatn"/>
          <w:b w:val="0"/>
          <w:color w:val="202B33"/>
          <w:sz w:val="21"/>
          <w:rtl w:val="1"/>
        </w:rPr>
        <w:t>☐ نام کارمند از گروه‌ها و دسترسی‌های ثالث حذف شود.</w:t>
      </w:r>
    </w:p>
    <w:p>
      <w:pPr>
        <w:pStyle w:val="Heading1"/>
        <w:jc w:val="right"/>
        <w:bidi w:val="1"/>
      </w:pPr>
      <w:r>
        <w:rPr>
          <w:rFonts w:ascii="Vazirmatn" w:hAnsi="Vazirmatn" w:cs="Vazirmatn" w:eastAsia="Vazirmatn"/>
          <w:rtl w:val="1"/>
        </w:rPr>
        <w:t>T+7 | بستن پرونده</w:t>
      </w:r>
    </w:p>
    <w:p>
      <w:pPr>
        <w:ind w:left="142" w:right="142"/>
        <w:jc w:val="right"/>
        <w:bidi w:val="1"/>
      </w:pPr>
      <w:r>
        <w:rPr>
          <w:rFonts w:ascii="Vazirmatn" w:hAnsi="Vazirmatn" w:cs="Vazirmatn" w:eastAsia="Vazirmatn"/>
          <w:b w:val="0"/>
          <w:color w:val="202B33"/>
          <w:sz w:val="21"/>
          <w:rtl w:val="1"/>
        </w:rPr>
        <w:t>☐ کارهای باز و انتقال مشتری بازبینی شود.</w:t>
      </w:r>
    </w:p>
    <w:p>
      <w:pPr>
        <w:ind w:left="142" w:right="142"/>
        <w:jc w:val="right"/>
        <w:bidi w:val="1"/>
      </w:pPr>
      <w:r>
        <w:rPr>
          <w:rFonts w:ascii="Vazirmatn" w:hAnsi="Vazirmatn" w:cs="Vazirmatn" w:eastAsia="Vazirmatn"/>
          <w:b w:val="0"/>
          <w:color w:val="202B33"/>
          <w:sz w:val="21"/>
          <w:rtl w:val="1"/>
        </w:rPr>
        <w:t>☐ فرم‌ها و گزارش قطع دسترسی به پرونده پیوست شوند.</w:t>
      </w:r>
    </w:p>
    <w:p>
      <w:pPr>
        <w:ind w:left="142" w:right="142"/>
        <w:jc w:val="right"/>
        <w:bidi w:val="1"/>
      </w:pPr>
      <w:r>
        <w:rPr>
          <w:rFonts w:ascii="Vazirmatn" w:hAnsi="Vazirmatn" w:cs="Vazirmatn" w:eastAsia="Vazirmatn"/>
          <w:b w:val="0"/>
          <w:color w:val="202B33"/>
          <w:sz w:val="21"/>
          <w:rtl w:val="1"/>
        </w:rPr>
        <w:t>☐ سفته در موعد مقرر با رسید عودت/ابطال شود.</w:t>
      </w:r>
    </w:p>
    <w:p>
      <w:pPr>
        <w:ind w:left="142" w:right="142"/>
        <w:jc w:val="right"/>
        <w:bidi w:val="1"/>
      </w:pPr>
      <w:r>
        <w:rPr>
          <w:rFonts w:ascii="Vazirmatn" w:hAnsi="Vazirmatn" w:cs="Vazirmatn" w:eastAsia="Vazirmatn"/>
          <w:b w:val="0"/>
          <w:color w:val="202B33"/>
          <w:sz w:val="21"/>
          <w:rtl w:val="1"/>
        </w:rPr>
        <w:t>☐ استثنا یا اختلاف جاری با علت، مسئول و موعد بعدی ثبت شود.</w:t>
      </w:r>
    </w:p>
    <w:p>
      <w:pPr>
        <w:pStyle w:val="Heading1"/>
        <w:jc w:val="right"/>
        <w:bidi w:val="1"/>
      </w:pPr>
      <w:r>
        <w:rPr>
          <w:rFonts w:ascii="Vazirmatn" w:hAnsi="Vazirmatn" w:cs="Vazirmatn" w:eastAsia="Vazirmatn"/>
          <w:rtl w:val="1"/>
        </w:rPr>
        <w:t>تأیید نهایی</w:t>
      </w:r>
    </w:p>
    <w:tbl>
      <w:tblPr>
        <w:tblW w:type="dxa" w:w="9978"/>
        <w:jc w:val="center"/>
        <w:tblLayout w:type="fixed"/>
        <w:tblLook w:firstColumn="1" w:firstRow="1" w:lastColumn="0" w:lastRow="0" w:noHBand="0" w:noVBand="1" w:val="04A0"/>
        <w:bidiVisual w:val="1"/>
        <w:tblInd w:w="120" w:type="dxa"/>
      </w:tblPr>
      <w:tblGrid>
        <w:gridCol w:w="2948"/>
        <w:gridCol w:w="7030"/>
      </w:tblGrid>
      <w:tr>
        <w:tc>
          <w:tcPr>
            <w:tcW w:type="dxa" w:w="2948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20"/>
                <w:rtl w:val="1"/>
              </w:rPr>
              <w:t>وضعیت پرونده</w:t>
            </w:r>
          </w:p>
        </w:tc>
        <w:tc>
          <w:tcPr>
            <w:tcW w:type="dxa" w:w="7030"/>
            <w:tcMar>
              <w:top w:w="100" w:type="dxa"/>
              <w:start w:w="120" w:type="dxa"/>
              <w:bottom w:w="100" w:type="dxa"/>
              <w:end w:w="120" w:type="dxa"/>
            </w:tcMar>
            <w:shd w:fill="EDF5F4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/>
                <w:color w:val="202B33"/>
                <w:sz w:val="20"/>
                <w:rtl w:val="1"/>
              </w:rPr>
              <w:t>☐ بسته شد  ☐ باز است؛ علت: [                              ]</w:t>
            </w:r>
          </w:p>
        </w:tc>
      </w:tr>
      <w:tr>
        <w:tc>
          <w:tcPr>
            <w:tcW w:type="dxa" w:w="2948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20"/>
                <w:rtl w:val="1"/>
              </w:rPr>
              <w:t>اقدام باقیمانده</w:t>
            </w:r>
          </w:p>
        </w:tc>
        <w:tc>
          <w:tcPr>
            <w:tcW w:type="dxa" w:w="7030"/>
            <w:tcMar>
              <w:top w:w="100" w:type="dxa"/>
              <w:start w:w="120" w:type="dxa"/>
              <w:bottom w:w="100" w:type="dxa"/>
              <w:end w:w="120" w:type="dxa"/>
            </w:tcMar>
            <w:shd w:fill="EDF5F4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/>
                <w:color w:val="202B33"/>
                <w:sz w:val="20"/>
                <w:rtl w:val="1"/>
              </w:rPr>
              <w:t>[                                                       ]</w:t>
            </w:r>
          </w:p>
        </w:tc>
      </w:tr>
      <w:tr>
        <w:tc>
          <w:tcPr>
            <w:tcW w:type="dxa" w:w="2948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20"/>
                <w:rtl w:val="1"/>
              </w:rPr>
              <w:t>مالک اقدام</w:t>
            </w:r>
          </w:p>
        </w:tc>
        <w:tc>
          <w:tcPr>
            <w:tcW w:type="dxa" w:w="7030"/>
            <w:tcMar>
              <w:top w:w="100" w:type="dxa"/>
              <w:start w:w="120" w:type="dxa"/>
              <w:bottom w:w="100" w:type="dxa"/>
              <w:end w:w="120" w:type="dxa"/>
            </w:tcMar>
            <w:shd w:fill="EDF5F4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/>
                <w:color w:val="202B33"/>
                <w:sz w:val="20"/>
                <w:rtl w:val="1"/>
              </w:rPr>
              <w:t>[                         ]</w:t>
            </w:r>
          </w:p>
        </w:tc>
      </w:tr>
      <w:tr>
        <w:tc>
          <w:tcPr>
            <w:tcW w:type="dxa" w:w="2948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20"/>
                <w:rtl w:val="1"/>
              </w:rPr>
              <w:t>موعد بعدی</w:t>
            </w:r>
          </w:p>
        </w:tc>
        <w:tc>
          <w:tcPr>
            <w:tcW w:type="dxa" w:w="7030"/>
            <w:tcMar>
              <w:top w:w="100" w:type="dxa"/>
              <w:start w:w="120" w:type="dxa"/>
              <w:bottom w:w="100" w:type="dxa"/>
              <w:end w:w="120" w:type="dxa"/>
            </w:tcMar>
            <w:shd w:fill="EDF5F4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/>
                <w:color w:val="202B33"/>
                <w:sz w:val="20"/>
                <w:rtl w:val="1"/>
              </w:rPr>
              <w:t>[                         ]</w:t>
            </w:r>
          </w:p>
        </w:tc>
      </w:tr>
    </w:tbl>
    <w:p>
      <w:pPr>
        <w:jc w:val="right"/>
        <w:bidi w:val="1"/>
      </w:pPr>
    </w:p>
    <w:tbl>
      <w:tblPr>
        <w:tblW w:type="dxa" w:w="9978"/>
        <w:jc w:val="center"/>
        <w:tblLayout w:type="fixed"/>
        <w:tblLook w:firstColumn="1" w:firstRow="1" w:lastColumn="0" w:lastRow="0" w:noHBand="0" w:noVBand="1" w:val="04A0"/>
        <w:bidiVisual w:val="1"/>
        <w:tblInd w:w="120" w:type="dxa"/>
      </w:tblPr>
      <w:tblGrid>
        <w:gridCol w:w="4989"/>
        <w:gridCol w:w="4989"/>
      </w:tblGrid>
      <w:tr>
        <w:tc>
          <w:tcPr>
            <w:tcW w:type="dxa" w:w="4989"/>
            <w:shd w:fill="EDF5F4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jc w:val="center"/>
              <w:bidi w:val="1"/>
            </w:pPr>
            <w:r>
              <w:rPr>
                <w:rFonts w:ascii="Vazirmatn" w:hAnsi="Vazirmatn" w:cs="Vazirmatn" w:eastAsia="Vazirmatn"/>
                <w:b/>
                <w:color w:val="123F44"/>
                <w:sz w:val="19"/>
                <w:rtl w:val="1"/>
              </w:rPr>
              <w:t>مالک فرایند خروج</w:t>
            </w:r>
          </w:p>
        </w:tc>
        <w:tc>
          <w:tcPr>
            <w:tcW w:type="dxa" w:w="4989"/>
            <w:shd w:fill="EDF5F4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jc w:val="center"/>
              <w:bidi w:val="1"/>
            </w:pPr>
            <w:r>
              <w:rPr>
                <w:rFonts w:ascii="Vazirmatn" w:hAnsi="Vazirmatn" w:cs="Vazirmatn" w:eastAsia="Vazirmatn"/>
                <w:b/>
                <w:color w:val="123F44"/>
                <w:sz w:val="19"/>
                <w:rtl w:val="1"/>
              </w:rPr>
              <w:t>مدیر مستقیم</w:t>
            </w:r>
          </w:p>
        </w:tc>
      </w:tr>
      <w:tr>
        <w:tc>
          <w:tcPr>
            <w:tcW w:type="dxa" w:w="4989"/>
            <w:tcMar>
              <w:top w:w="120" w:type="dxa"/>
              <w:start w:w="120" w:type="dxa"/>
              <w:bottom w:w="500" w:type="dxa"/>
              <w:end w:w="120" w:type="dxa"/>
            </w:tcMar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sz w:val="20"/>
                <w:rtl w:val="1"/>
              </w:rPr>
              <w:t>نام و نام خانوادگی: [                 ]</w:t>
              <w:br/>
              <w:t>سمت: [                 ]</w:t>
              <w:br/>
              <w:t>تاریخ: [                 ]</w:t>
              <w:br/>
              <w:t>امضا/اثر انگشت:</w:t>
            </w:r>
          </w:p>
        </w:tc>
        <w:tc>
          <w:tcPr>
            <w:tcW w:type="dxa" w:w="4989"/>
            <w:tcMar>
              <w:top w:w="120" w:type="dxa"/>
              <w:start w:w="120" w:type="dxa"/>
              <w:bottom w:w="500" w:type="dxa"/>
              <w:end w:w="120" w:type="dxa"/>
            </w:tcMar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sz w:val="20"/>
                <w:rtl w:val="1"/>
              </w:rPr>
              <w:t>نام و نام خانوادگی: [                 ]</w:t>
              <w:br/>
              <w:t>سمت: [                 ]</w:t>
              <w:br/>
              <w:t>تاریخ: [                 ]</w:t>
              <w:br/>
              <w:t>امضا/اثر انگشت:</w:t>
            </w:r>
          </w:p>
        </w:tc>
      </w:tr>
    </w:tbl>
    <w:tbl>
      <w:tblPr>
        <w:tblW w:type="dxa" w:w="9979"/>
        <w:jc w:val="center"/>
        <w:tblLayout w:type="fixed"/>
        <w:tblLook w:firstColumn="1" w:firstRow="1" w:lastColumn="0" w:lastRow="0" w:noHBand="0" w:noVBand="1" w:val="04A0"/>
        <w:bidiVisual w:val="1"/>
        <w:tblInd w:w="180" w:type="dxa"/>
      </w:tblPr>
      <w:tblGrid>
        <w:gridCol w:w="9979"/>
      </w:tblGrid>
      <w:tr>
        <w:tc>
          <w:tcPr>
            <w:tcW w:type="dxa" w:w="9979"/>
            <w:shd w:fill="FCE8E6"/>
            <w:tcMar>
              <w:top w:w="120" w:type="dxa"/>
              <w:start w:w="180" w:type="dxa"/>
              <w:bottom w:w="120" w:type="dxa"/>
              <w:end w:w="180" w:type="dxa"/>
            </w:tcMar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/>
                <w:color w:val="123F44"/>
                <w:sz w:val="19"/>
                <w:rtl w:val="1"/>
              </w:rPr>
              <w:t xml:space="preserve">یادآوری حقوقی: </w:t>
            </w:r>
            <w:r>
              <w:rPr>
                <w:rFonts w:ascii="Vazirmatn" w:hAnsi="Vazirmatn" w:cs="Vazirmatn" w:eastAsia="Vazirmatn"/>
                <w:b w:val="0"/>
                <w:color w:val="202B33"/>
                <w:sz w:val="19"/>
                <w:rtl w:val="1"/>
              </w:rPr>
              <w:t>این فایل یک الگوی عمومی است. پیش از امضا، اقدام روی سفته، مطالبه خسارت یا تصمیم انضباطی، متن نهایی و مدارک همان پرونده را به وکیل آشنا با حقوق کار نشان دهید.</w:t>
            </w:r>
          </w:p>
        </w:tc>
      </w:tr>
    </w:tbl>
    <w:p>
      <w:pPr>
        <w:spacing w:after="0"/>
        <w:jc w:val="right"/>
        <w:bidi w:val="1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992" w:right="964" w:bottom="935" w:left="964" w:header="369" w:footer="36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  <w:bidi w:val="1"/>
    </w:pPr>
    <w:r>
      <w:rPr>
        <w:rFonts w:ascii="Vazirmatn" w:hAnsi="Vazirmatn" w:cs="Vazirmatn" w:eastAsia="Vazirmatn"/>
        <w:color w:val="66737B"/>
        <w:sz w:val="16"/>
        <w:rtl w:val="1"/>
      </w:rPr>
      <w:t xml:space="preserve">صفحه </w:t>
      <w:fldChar w:fldCharType="begin"/>
      <w:instrText xml:space="preserve"> PAGE </w:instrText>
      <w:fldChar w:fldCharType="end"/>
    </w:r>
    <w:r>
      <w:rPr>
        <w:rFonts w:ascii="Vazirmatn" w:hAnsi="Vazirmatn" w:cs="Vazirmatn" w:eastAsia="Vazirmatn"/>
        <w:b w:val="0"/>
        <w:color w:val="66737B"/>
        <w:sz w:val="16"/>
        <w:rtl w:val="1"/>
      </w:rPr>
      <w:t xml:space="preserve"> | © محمد جواد برزگر — استفاده داخلی طبق مجوز محصول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dxa" w:w="9979"/>
      <w:jc w:val="center"/>
      <w:tblLayout w:type="fixed"/>
      <w:tblLook w:firstColumn="1" w:firstRow="1" w:lastColumn="0" w:lastRow="0" w:noHBand="0" w:noVBand="1" w:val="04A0"/>
      <w:bidiVisual w:val="1"/>
      <w:tblInd w:w="20" w:type="dxa"/>
    </w:tblPr>
    <w:tblGrid>
      <w:gridCol w:w="7144"/>
      <w:gridCol w:w="2835"/>
    </w:tblGrid>
    <w:tr>
      <w:tc>
        <w:tcPr>
          <w:tcW w:type="dxa" w:w="7144"/>
          <w:tcMar>
            <w:top w:w="20" w:type="dxa"/>
            <w:start w:w="20" w:type="dxa"/>
            <w:bottom w:w="20" w:type="dxa"/>
            <w:end w:w="20" w:type="dxa"/>
          </w:tcMar>
        </w:tcPr>
        <w:p>
          <w:pPr>
            <w:jc w:val="right"/>
            <w:bidi w:val="1"/>
          </w:pPr>
          <w:r>
            <w:rPr>
              <w:rFonts w:ascii="Vazirmatn" w:hAnsi="Vazirmatn" w:cs="Vazirmatn" w:eastAsia="Vazirmatn"/>
              <w:b/>
              <w:color w:val="123F44"/>
              <w:sz w:val="17"/>
              <w:rtl w:val="1"/>
            </w:rPr>
            <w:t>محمد جواد برزگر | ابزارهای مدیریت کسب‌وکار</w:t>
          </w:r>
        </w:p>
      </w:tc>
      <w:tc>
        <w:tcPr>
          <w:tcW w:type="dxa" w:w="2835"/>
          <w:tcMar>
            <w:top w:w="20" w:type="dxa"/>
            <w:start w:w="20" w:type="dxa"/>
            <w:bottom w:w="20" w:type="dxa"/>
            <w:end w:w="20" w:type="dxa"/>
          </w:tcMar>
        </w:tcPr>
        <w:p>
          <w:pPr>
            <w:jc w:val="left"/>
            <w:bidi w:val="1"/>
          </w:pPr>
          <w:r>
            <w:rPr>
              <w:rFonts w:ascii="Vazirmatn" w:hAnsi="Vazirmatn" w:cs="Vazirmatn" w:eastAsia="Vazirmatn"/>
              <w:b w:val="0"/>
              <w:color w:val="66737B"/>
              <w:sz w:val="16"/>
              <w:rtl w:val="1"/>
            </w:rPr>
            <w:t>NDA-KIT-05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300" w:lineRule="auto"/>
    </w:pPr>
    <w:rPr>
      <w:rFonts w:ascii="Vazirmatn" w:hAnsi="Vazirmatn" w:cs="Vazirmatn"/>
      <w:color w:val="202B33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160"/>
      <w:outlineLvl w:val="0"/>
    </w:pPr>
    <w:rPr>
      <w:rFonts w:asciiTheme="majorHAnsi" w:eastAsiaTheme="majorEastAsia" w:hAnsiTheme="majorHAnsi" w:cstheme="majorBidi" w:ascii="Vazirmatn" w:hAnsi="Vazirmatn" w:cs="Vazirmatn"/>
      <w:b/>
      <w:bCs/>
      <w:color w:val="123F44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20"/>
      <w:outlineLvl w:val="1"/>
    </w:pPr>
    <w:rPr>
      <w:rFonts w:asciiTheme="majorHAnsi" w:eastAsiaTheme="majorEastAsia" w:hAnsiTheme="majorHAnsi" w:cstheme="majorBidi" w:ascii="Vazirmatn" w:hAnsi="Vazirmatn" w:cs="Vazirmatn"/>
      <w:b/>
      <w:bCs/>
      <w:color w:val="21666B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20"/>
      <w:outlineLvl w:val="2"/>
    </w:pPr>
    <w:rPr>
      <w:rFonts w:asciiTheme="majorHAnsi" w:eastAsiaTheme="majorEastAsia" w:hAnsiTheme="majorHAnsi" w:cstheme="majorBidi" w:ascii="Vazirmatn" w:hAnsi="Vazirmatn" w:cs="Vazirmatn"/>
      <w:b/>
      <w:bCs/>
      <w:color w:val="202B33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20" w:line="240" w:lineRule="auto" w:before="0"/>
      <w:contextualSpacing/>
    </w:pPr>
    <w:rPr>
      <w:rFonts w:asciiTheme="majorHAnsi" w:eastAsiaTheme="majorEastAsia" w:hAnsiTheme="majorHAnsi" w:cstheme="majorBidi" w:ascii="Vazirmatn" w:hAnsi="Vazirmatn" w:cs="Vazirmatn"/>
      <w:b/>
      <w:color w:val="123F44"/>
      <w:spacing w:val="5"/>
      <w:kern w:val="28"/>
      <w:sz w:val="5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before="0" w:after="120"/>
    </w:pPr>
    <w:rPr>
      <w:rFonts w:asciiTheme="majorHAnsi" w:eastAsiaTheme="majorEastAsia" w:hAnsiTheme="majorHAnsi" w:cstheme="majorBidi" w:ascii="Vazirmatn" w:hAnsi="Vazirmatn" w:cs="Vazirmatn"/>
      <w:b w:val="0"/>
      <w:i/>
      <w:iCs/>
      <w:color w:val="66737B"/>
      <w:spacing w:val="15"/>
      <w:sz w:val="23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05-چک‌لیست-خروج-و-قطع-دسترسی</dc:title>
  <dc:subject>کیت حفاظت از اطلاعات کارکنان</dc:subject>
  <dc:creator>محمد جواد برزگر</dc:creator>
  <cp:keywords>NDA, محرمانگی, سفته, منابع انسانی, محمد جواد برزگر</cp:keywords>
  <dc:description>generated by python-docx</dc:description>
  <cp:lastModifiedBy>محمد جواد برزگر</cp:lastModifiedBy>
  <cp:revision>1</cp:revision>
  <dcterms:created xsi:type="dcterms:W3CDTF">2013-12-23T23:15:00Z</dcterms:created>
  <dcterms:modified xsi:type="dcterms:W3CDTF">2013-12-23T23:15:00Z</dcterms:modified>
  <cp:category/>
</cp:coreProperties>
</file>